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ab/>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Smlouva o nájmu dopravního prostředku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(§2321 NOZ)</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Smluvní strany: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Pronajímatel: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rtl w:val="0"/>
        </w:rPr>
        <w:t xml:space="preserve">občan</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rtl w:val="0"/>
        </w:rPr>
        <w:t xml:space="preserve">Bydliště: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rtl w:val="0"/>
        </w:rPr>
        <w:t xml:space="preserve">RČ: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na straně jedné</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(dále jen „pronajímatel“)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nájemce: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rtl w:val="0"/>
        </w:rPr>
        <w:t xml:space="preserve">Firma / fyzická osoba</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rtl w:val="0"/>
        </w:rPr>
        <w:t xml:space="preserve">…., Praha 2,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na straně druhé</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(dále jen „nájemce“)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uzavřely níže uvedeného dne, měsíce a roku podle ust. § 2321 a násl. občanského zákoníku tuto smlouvu o nájmu dopravního prostředku: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w:t>
        <w:br w:type="textWrapping"/>
        <w:t xml:space="preserve">Předmět smlouvy, obecná ustanovení</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Touto nájemní smlouvou se pronajímatel zavazuje přenechat nájemci na určitou dobu (viz níže) užívání níže specifikovaného dopravního prostředku a nájemce se zavazuje platit za to pronajímateli nájemné.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Předmět nájmu, který je touto smlouvou pronajímán, je specifikován takto: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Osobní automobil tov. zn. </w:t>
      </w:r>
      <w:r w:rsidDel="00000000" w:rsidR="00000000" w:rsidRPr="00000000">
        <w:rPr>
          <w:rFonts w:ascii="Arial" w:cs="Arial" w:eastAsia="Arial" w:hAnsi="Arial"/>
          <w:b w:val="1"/>
          <w:rtl w:val="0"/>
        </w:rPr>
        <w:t xml:space="preserve">Opel Corsa S93 (Vin:)</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reg.zn: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(dále jen „předmět nájmu“). Pronajímatel i nájemce souhlasně prohlašují, že je předmět nájmu, na základě shora uvedené specifikace, dostatečně určitě a srozumitelně popsán, aby nemohl být zaměněn s jinou věcí.</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Pronajímatel se zavazuje přenechat nájemci předmět nájmu podle této smlouvy do nájmu k užívání a provozování za účelem obvyklým, tj. provozu na pozemních komunikacích, a řádně jej nájemci předat spolu s potřebnými doklady, zejména </w:t>
      </w:r>
      <w:r w:rsidDel="00000000" w:rsidR="00000000" w:rsidRPr="00000000">
        <w:rPr>
          <w:rFonts w:ascii="Arial" w:cs="Arial" w:eastAsia="Arial" w:hAnsi="Arial"/>
          <w:rtl w:val="0"/>
        </w:rPr>
        <w:t xml:space="preserve">malý TP, velký TP, zelená karta</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při podpisu této smlouvy.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Nebude-li dopravní prostředek způsobilý k provozu, má nájemce právo odmítnout dopravní prostředek převzít, a zjistí-li tuto skutečnost až dodatečně, má právo jej vrátit a žádat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360"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a)</w:t>
        <w:tab/>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odstranění vady, nebo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b)</w:t>
        <w:tab/>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odevzdání jiného dopravního prostředku, nebo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c)</w:t>
        <w:tab/>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může smlouvu zrušit.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Nájemce není oprávněn dále přenechat předmět nájmu třetí osobě do podnájmu. Nájemce se zavazuje předmět nájmu užívat pouze za účelem uvedeným shora, od pronajímatele jej převzít a platit pronajímateli dohodnuté nájemné podle čl. II. Náklady na provoz předmětu nájmu, jeho udržování ve stavu způsobilém řádného užívání za účelem uvedeným shora, jakož i plnění daňových a poplatkových povinností z titulu provozovatele či uživatele předmětu nájmu, nese pronajímatel. Nájemce nese náklady na provoz osobního automobilu - pohonné hmoty a i náklady na běžnou údržbu.</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Nebezpečí škody na předmětu nájmu nese po dobu doby nájmu nájemce, s výjimkou případů, kdy škodu způsobil pronajímatel.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Pronajímatel touto smlouvou a za podmínek v ní uvedených předmět nájmu nájemci přenechává do nájmu, nájemce touto smlouvou a za podmínek v ní uvedených předmět nájmu od pronajímatele bere do nájmu.</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II.</w:t>
        <w:br w:type="textWrapping"/>
        <w:t xml:space="preserve">Nájemné</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Nájemné předmětu nájmu je stanoveno dohodou smluvních stran a činí celkem </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.000,- Kč </w:t>
      </w:r>
      <w:r w:rsidDel="00000000" w:rsidR="00000000" w:rsidRPr="00000000">
        <w:rPr>
          <w:rFonts w:ascii="Arial" w:cs="Arial" w:eastAsia="Arial" w:hAnsi="Arial"/>
          <w:rtl w:val="0"/>
        </w:rPr>
        <w:t xml:space="preserve">na 3 roky od data podpisu této smlouvy</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Toto nájemné je splatné každý měsíc do 15 dnů o</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 data vystavení daňového dokladu - faktury vystaveného pronajímatelem a doručeného nájemci.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br w:type="textWrapping"/>
        <w:t xml:space="preserve">III.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Předání předmětu nájmu a dokladů</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Pronajímatel při podpisu této smlouvy předal nájemci předmět nájmu včetně vybavení a příslušenství (malý technický průkaz, doklad o úhradě povinného ručení), což obě strany svými níže uvedenými podpisy rovněž stvrzují.</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IV.</w:t>
        <w:br w:type="textWrapping"/>
        <w:t xml:space="preserve">Další práva a povinnosti stran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Nájemce není oprávněn provádět na předmětu nájmu změny bez předchozího písemného souhlasu pronajímatele. Tím nejsou dotčeny povinnosti nájemce uvedené v článku I. této smlouvy.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Nájemce je povinen pečovat o to, aby na předmětu nájmu nevznikla škoda.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Nájemce je povinen udržovat dopravní prostředek ve stavu, v jakém jej převzal, s přihlédnutím k obvyklému opotřebení.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w:t>
        <w:br w:type="textWrapping"/>
        <w:t xml:space="preserve">Doba trvání nájmu</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Tato smlouva je uzavřena na dobu určitou, a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 od </w:t>
      </w:r>
      <w:r w:rsidDel="00000000" w:rsidR="00000000" w:rsidRPr="00000000">
        <w:rPr>
          <w:rFonts w:ascii="Arial" w:cs="Arial" w:eastAsia="Arial" w:hAnsi="Arial"/>
          <w:rtl w:val="0"/>
        </w:rPr>
        <w:t xml:space="preserve">1. 5. 2022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do </w:t>
      </w:r>
      <w:r w:rsidDel="00000000" w:rsidR="00000000" w:rsidRPr="00000000">
        <w:rPr>
          <w:rFonts w:ascii="Arial" w:cs="Arial" w:eastAsia="Arial" w:hAnsi="Arial"/>
          <w:rtl w:val="0"/>
        </w:rPr>
        <w:t xml:space="preserve">1. 5. 2035</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VI.</w:t>
        <w:br w:type="textWrapping"/>
        <w:t xml:space="preserve">Odstoupení od smlouvy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Od této smlouvy může kterákoli strana odstoupit, pokud dojde k podstatnému porušení smluvních povinností stranou druhou. Účinky odstoupení od této smlouvy nastanou dnem, kdy bude písemné odstoupení strany odstupující druhé straně doručeno.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VII.</w:t>
        <w:br w:type="textWrapping"/>
        <w:t xml:space="preserve">Závěrečná ujednání</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Tuto smlouvu lze měnit či doplňovat pouze písemnými dodatky, podepsanými oběma stranami.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Nastanou-li u některé ze stran okolnosti bránící řádnému plnění této smlouvy, je povinna to bez zbytečného odkladu oznámit druhé straně. Smluvní strany se dohodly, že veškeré majetkové spory, které v budoucnu vzniknou z této smlouvy nebo v souvislosti s ní, a to i v případě, že tato smlouva bude neplatná, zrušena nebo od ní bude odstoupeno (dále jen „spory“), budou rozhodovány v rozhodčím řízení v souladu se zákonem č. 216/1994 Sb., o rozhodčím řízení a výkonu rozhodčích nálezů, ve znění pozdějších předpisů (dále jen „ZRŘ“), v rozhodčím řízení před jediným rozhodcem Mgr. Marií Pluhařovou, zapsaným v seznamu rozhodců vedeném Ministerstvem spravedlnosti pod ev.č. 69 a v seznamu u Czech Arbitration Centre s.r.o., se sídlem Klatovská 515/169, 321 00 Plzeň, korespondenční adresa P.O.BOX 183, 304 83 Plzeň. Rozhodčí řízení je zahájeno doručením žaloby do sídla rozhodce a přijetím žaloby k rozhodnutí ze strany rozhodce. V souladu s ustanovením § 19 odst. 1 ZRŘ se smluvní strany dohodly, že spor bude rozhodován bez nařízení ústního jednání, na základě listinných důkazů předložených stranami sporu. Rozhodce je oprávněn ústní jednání kdykoliv nařídit a to zejména v případě, nebude-li rozhodce písemné podklady považovat za dostačující. Místem řízení je sídlo rozhodce. Rozhodčí řízení je vždy neveřejné. Rozhodce je oprávněn uložit účastníkovi, který ve sporu neměl úspěch, úplnou nebo částečnou náhradu nákladů řízení dle poměru úspěchu účastníka ve věci. Rozhodčí poplatek činí 2,5 % z hodnoty sporu, min. 2.500,-- Kč. Zaplacený rozhodčí poplatek je součástí náhrady nákladů řízení, stejně tak náklady právního zastoupení dle vyhlášky 177/1996 Sb., jakož i další náklady, které strany sporu v rámci rozhodčího řízení účelně vynaložily k obraně svých práv. Rozhodčí nález je konečný a strany nesjednávají možnost přezkumu nálezu dle ZRŘ.  Stranám bude doručováno na adresy uvedené v záhlaví této smlouvy nebo na adresy, které oznámí v průběhů řízení rozhodci. Proti rozhodcem vydanému rozhodčímu nálezu nejsou přípustné opravné prostředky.  Ve smyslu § 28 ZRŘ nabývá rozhodčí nález dnem doručení účinku pravomocného soudního rozhodnutí a je soudně vykonatelný. Kterýkoliv z účastníků může ve lhůtě 3 měsíců podat návrh na zrušení rozhodčího nálezu z důvodů uvedených v ustanovení § 31 ZRŘ. Podpisem této smlouvy spotřebitel stvrzuje, že bylo podnikatelem s dostatečným předstihem poskytnuto dostatečné vysvětlení obsahu, smyslu a všech následků této rozhodčí smlouvy a je si plně vědom všech důsledků uzavření této rozhodčí smlouvy.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420" w:right="0" w:hanging="42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Tato smlouva je uzavírána ve dvou vyhotoveních, z nichž jedno náleží každé smluvní straně.</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Tato smlouva se řídí úpravou dle občanského zákoníku.</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Tato smlouva nabývá platnosti i účinnosti podpisem oběma stranami.</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Smluvní strany po jejím přečtení prohlašují, že souhlasí s jejím obsahem, že smlouva byla sepsána určitě, srozumitelně, na základě jejich pravé a svobodné vůle, bez nátlaku na některou ze stran. Na důkaz toho připojují své podpisy.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 Plzni, dne….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Pronajímatel:</w:t>
        <w:tab/>
        <w:tab/>
        <w:tab/>
        <w:tab/>
        <w:tab/>
        <w:tab/>
        <w:t xml:space="preserve">Za Nájemce:</w:t>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q6+JqYj2a6lt7ZaU9IzK3gmyw==">AMUW2mUVK2T3RcjUP+hVG6m14Eq3Ey6AXNFKDbJMzapWK64cyGQ66pMS6ircsqUW1hKh97Zcr46YFv0yjzWzkItfrSfhqRgGwcYGViNxK0uPZBndLx8odJ8=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2014-01-30T16:28:00Z</dcterms:created>
  <dc:creator>Maru</dc:creator>
</cp:coreProperties>
</file>